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14C0F" w:rsidRPr="00070A70" w:rsidTr="00FF467C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A14C0F" w:rsidRPr="00F54C6F" w:rsidRDefault="00A14C0F" w:rsidP="00FF467C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0F" w:rsidRPr="00F54C6F" w:rsidRDefault="00A14C0F" w:rsidP="00FF467C"/>
          <w:p w:rsidR="00A14C0F" w:rsidRPr="00F54C6F" w:rsidRDefault="00A14C0F" w:rsidP="00FF467C"/>
          <w:p w:rsidR="00A14C0F" w:rsidRPr="00F54C6F" w:rsidRDefault="00A14C0F" w:rsidP="00FF467C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A14C0F" w:rsidRPr="00F54C6F" w:rsidRDefault="00A14C0F" w:rsidP="00FF467C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A14C0F" w:rsidRPr="00F54C6F" w:rsidRDefault="00A14C0F" w:rsidP="00FF467C">
            <w:pPr>
              <w:jc w:val="center"/>
              <w:rPr>
                <w:lang w:val="ba-RU"/>
              </w:rPr>
            </w:pPr>
          </w:p>
        </w:tc>
      </w:tr>
    </w:tbl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3228"/>
        </w:tabs>
      </w:pPr>
    </w:p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A14C0F" w:rsidRPr="00615777" w:rsidRDefault="00A14C0F" w:rsidP="00A14C0F">
      <w:pPr>
        <w:pStyle w:val="a4"/>
        <w:tabs>
          <w:tab w:val="left" w:pos="2025"/>
        </w:tabs>
      </w:pPr>
      <w:r w:rsidRPr="00615777">
        <w:rPr>
          <w:b/>
        </w:rPr>
        <w:t xml:space="preserve"> </w:t>
      </w:r>
      <w:r w:rsidR="00F466D1">
        <w:t>02</w:t>
      </w:r>
      <w:r>
        <w:t xml:space="preserve"> </w:t>
      </w:r>
      <w:r w:rsidRPr="00615777">
        <w:t xml:space="preserve"> </w:t>
      </w:r>
      <w:r w:rsidR="00F466D1">
        <w:rPr>
          <w:rFonts w:ascii="BelZAGZ" w:hAnsi="BelZAGZ"/>
        </w:rPr>
        <w:t>июль</w:t>
      </w:r>
      <w:r w:rsidRPr="00615777">
        <w:t xml:space="preserve">  2019</w:t>
      </w:r>
      <w:r>
        <w:t xml:space="preserve"> </w:t>
      </w:r>
      <w:proofErr w:type="spellStart"/>
      <w:r w:rsidRPr="00615777">
        <w:t>й</w:t>
      </w:r>
      <w:proofErr w:type="spellEnd"/>
      <w:r w:rsidRPr="00615777">
        <w:t xml:space="preserve">.            </w:t>
      </w:r>
      <w:r>
        <w:t xml:space="preserve">                   </w:t>
      </w:r>
      <w:r w:rsidRPr="00615777">
        <w:t xml:space="preserve">      №</w:t>
      </w:r>
      <w:r w:rsidR="00D027B3">
        <w:t>36</w:t>
      </w:r>
      <w:r>
        <w:t xml:space="preserve">                                           </w:t>
      </w:r>
      <w:r w:rsidR="00F466D1">
        <w:t>02</w:t>
      </w:r>
      <w:r w:rsidRPr="00615777">
        <w:t xml:space="preserve"> </w:t>
      </w:r>
      <w:r w:rsidR="00F466D1">
        <w:t>июля</w:t>
      </w:r>
      <w:r w:rsidRPr="00615777">
        <w:t xml:space="preserve">  2019</w:t>
      </w:r>
      <w:r>
        <w:t xml:space="preserve"> </w:t>
      </w:r>
      <w:r w:rsidRPr="00615777">
        <w:t>г.</w:t>
      </w:r>
    </w:p>
    <w:p w:rsidR="00A14C0F" w:rsidRDefault="00A14C0F" w:rsidP="00A14C0F">
      <w:pPr>
        <w:jc w:val="center"/>
        <w:rPr>
          <w:rFonts w:ascii="Arial" w:hAnsi="Arial" w:cs="Arial"/>
          <w:b/>
          <w:sz w:val="28"/>
          <w:szCs w:val="28"/>
        </w:rPr>
      </w:pPr>
    </w:p>
    <w:p w:rsidR="002A7E7D" w:rsidRDefault="002A7E7D" w:rsidP="002A7E7D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7E7D" w:rsidRDefault="002A7E7D" w:rsidP="002A7E7D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№ 61 от 24 декабря 2018 года </w:t>
      </w:r>
    </w:p>
    <w:p w:rsidR="002A7E7D" w:rsidRDefault="002A7E7D" w:rsidP="002A7E7D">
      <w:pPr>
        <w:ind w:right="-285"/>
        <w:jc w:val="center"/>
      </w:pPr>
      <w:r>
        <w:t xml:space="preserve">«Об утверждении </w:t>
      </w:r>
      <w:proofErr w:type="gramStart"/>
      <w:r>
        <w:t>Порядка администрирования доходов бюджета сельского поселения</w:t>
      </w:r>
      <w:proofErr w:type="gramEnd"/>
      <w:r>
        <w:t xml:space="preserve">  </w:t>
      </w:r>
      <w:proofErr w:type="spellStart"/>
      <w:r>
        <w:t>Мендяновский</w:t>
      </w:r>
      <w:proofErr w:type="spellEnd"/>
      <w:r>
        <w:t xml:space="preserve"> 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</w:t>
      </w:r>
      <w:proofErr w:type="spellStart"/>
      <w:r>
        <w:t>Мендяновский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</w:t>
      </w:r>
    </w:p>
    <w:p w:rsidR="002A7E7D" w:rsidRDefault="002A7E7D" w:rsidP="002A7E7D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7E7D" w:rsidRDefault="002A7E7D" w:rsidP="002A7E7D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E7D" w:rsidRDefault="002A7E7D" w:rsidP="002A7E7D">
      <w:pPr>
        <w:pStyle w:val="ConsPlusNormal"/>
        <w:widowControl/>
        <w:tabs>
          <w:tab w:val="left" w:pos="720"/>
        </w:tabs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2A7E7D" w:rsidRDefault="002A7E7D" w:rsidP="002A7E7D">
      <w:pPr>
        <w:pStyle w:val="ConsPlusNormal"/>
        <w:widowControl/>
        <w:tabs>
          <w:tab w:val="left" w:pos="720"/>
        </w:tabs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7D" w:rsidRDefault="002A7E7D" w:rsidP="002A7E7D">
      <w:pPr>
        <w:pStyle w:val="1"/>
        <w:ind w:left="0" w:right="-285" w:firstLine="54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Внести в Порядок администрирования доходов бюджета сельского поселения  </w:t>
      </w:r>
      <w:proofErr w:type="spellStart"/>
      <w:r>
        <w:rPr>
          <w:sz w:val="24"/>
        </w:rPr>
        <w:t>Мендяновский</w:t>
      </w:r>
      <w:proofErr w:type="spellEnd"/>
      <w:r>
        <w:rPr>
          <w:sz w:val="24"/>
        </w:rPr>
        <w:t xml:space="preserve"> сельсовет муниципального 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Башкортостан, </w:t>
      </w:r>
      <w:proofErr w:type="spellStart"/>
      <w:r>
        <w:rPr>
          <w:sz w:val="24"/>
        </w:rPr>
        <w:t>администрируемых</w:t>
      </w:r>
      <w:proofErr w:type="spellEnd"/>
      <w:r>
        <w:rPr>
          <w:sz w:val="24"/>
        </w:rPr>
        <w:t xml:space="preserve"> администрацией сельского поселения </w:t>
      </w:r>
      <w:proofErr w:type="spellStart"/>
      <w:r>
        <w:rPr>
          <w:sz w:val="24"/>
        </w:rPr>
        <w:t>Мендяновский_сельсовет</w:t>
      </w:r>
      <w:proofErr w:type="spellEnd"/>
      <w:r>
        <w:rPr>
          <w:sz w:val="24"/>
        </w:rPr>
        <w:t xml:space="preserve"> муниципального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Башкортостан,  утвержденный постановлением № 61  от 24 декабря 2018 года «Об утверждении Порядка администрирования доходов бюджета сельского поселения  </w:t>
      </w:r>
      <w:proofErr w:type="spellStart"/>
      <w:r>
        <w:rPr>
          <w:sz w:val="24"/>
        </w:rPr>
        <w:t>Мендяновский</w:t>
      </w:r>
      <w:proofErr w:type="spellEnd"/>
      <w:r>
        <w:rPr>
          <w:sz w:val="24"/>
        </w:rPr>
        <w:t xml:space="preserve"> сельсовет муниципального 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Башкортостан, </w:t>
      </w:r>
      <w:proofErr w:type="spellStart"/>
      <w:r>
        <w:rPr>
          <w:sz w:val="24"/>
        </w:rPr>
        <w:t>администрируемых</w:t>
      </w:r>
      <w:proofErr w:type="spellEnd"/>
      <w:r>
        <w:rPr>
          <w:sz w:val="24"/>
        </w:rPr>
        <w:t xml:space="preserve"> администрацией сельского поселения </w:t>
      </w:r>
      <w:proofErr w:type="spellStart"/>
      <w:r>
        <w:rPr>
          <w:sz w:val="24"/>
        </w:rPr>
        <w:t>Мендяновский</w:t>
      </w:r>
      <w:proofErr w:type="spellEnd"/>
      <w:r>
        <w:rPr>
          <w:sz w:val="24"/>
        </w:rPr>
        <w:t xml:space="preserve"> сельсовет муниципального района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Республики Башкортостан», следующее изменение:</w:t>
      </w:r>
    </w:p>
    <w:p w:rsidR="002A7E7D" w:rsidRDefault="002A7E7D" w:rsidP="002A7E7D">
      <w:pPr>
        <w:ind w:right="-285" w:firstLine="709"/>
        <w:rPr>
          <w:highlight w:val="yellow"/>
        </w:rPr>
      </w:pPr>
    </w:p>
    <w:p w:rsidR="002A7E7D" w:rsidRDefault="002A7E7D" w:rsidP="002A7E7D">
      <w:pPr>
        <w:pStyle w:val="ConsPlusNormal"/>
        <w:widowControl/>
        <w:tabs>
          <w:tab w:val="left" w:pos="720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код бюджетной классификации:</w:t>
      </w:r>
    </w:p>
    <w:p w:rsidR="002A7E7D" w:rsidRDefault="002A7E7D" w:rsidP="002A7E7D">
      <w:pPr>
        <w:pStyle w:val="ConsPlusNormal"/>
        <w:widowControl/>
        <w:tabs>
          <w:tab w:val="left" w:pos="720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1095"/>
        <w:gridCol w:w="2608"/>
        <w:gridCol w:w="5957"/>
      </w:tblGrid>
      <w:tr w:rsidR="002A7E7D" w:rsidTr="002A7E7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D" w:rsidRDefault="002A7E7D">
            <w:pPr>
              <w:ind w:left="-93"/>
              <w:jc w:val="center"/>
            </w:pPr>
            <w:r>
              <w:t>791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E7D" w:rsidRDefault="002A7E7D">
            <w:pPr>
              <w:ind w:hanging="4"/>
            </w:pPr>
            <w:r>
              <w:t>2 02 49999 10 7240 150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E7D" w:rsidRDefault="002A7E7D">
            <w: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</w:tbl>
    <w:p w:rsidR="002A7E7D" w:rsidRDefault="002A7E7D" w:rsidP="002A7E7D">
      <w:pPr>
        <w:pStyle w:val="ConsPlusNormal"/>
        <w:widowControl/>
        <w:tabs>
          <w:tab w:val="left" w:pos="720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A7E7D" w:rsidRDefault="002A7E7D" w:rsidP="002A7E7D">
      <w:pPr>
        <w:ind w:right="-285"/>
        <w:jc w:val="both"/>
      </w:pPr>
      <w:r>
        <w:t>Глава сельского поселения</w:t>
      </w:r>
    </w:p>
    <w:p w:rsidR="00A14C0F" w:rsidRDefault="00A14C0F" w:rsidP="00A14C0F">
      <w:pPr>
        <w:jc w:val="center"/>
        <w:rPr>
          <w:b/>
          <w:sz w:val="28"/>
          <w:szCs w:val="28"/>
        </w:rPr>
      </w:pPr>
    </w:p>
    <w:sectPr w:rsidR="00A14C0F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D55"/>
    <w:multiLevelType w:val="hybridMultilevel"/>
    <w:tmpl w:val="D93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371B"/>
    <w:multiLevelType w:val="hybridMultilevel"/>
    <w:tmpl w:val="F66C2356"/>
    <w:lvl w:ilvl="0" w:tplc="536CC4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C0F"/>
    <w:rsid w:val="00045050"/>
    <w:rsid w:val="001B79D0"/>
    <w:rsid w:val="0021204F"/>
    <w:rsid w:val="0026642E"/>
    <w:rsid w:val="00274067"/>
    <w:rsid w:val="002A7E7D"/>
    <w:rsid w:val="002F3AB6"/>
    <w:rsid w:val="003743DB"/>
    <w:rsid w:val="003F76CE"/>
    <w:rsid w:val="00560BF8"/>
    <w:rsid w:val="005D4CB8"/>
    <w:rsid w:val="0064469F"/>
    <w:rsid w:val="006A58A5"/>
    <w:rsid w:val="006F4DDA"/>
    <w:rsid w:val="007E6DB4"/>
    <w:rsid w:val="00943049"/>
    <w:rsid w:val="00A14C0F"/>
    <w:rsid w:val="00AF7013"/>
    <w:rsid w:val="00B92B78"/>
    <w:rsid w:val="00B9315E"/>
    <w:rsid w:val="00C76472"/>
    <w:rsid w:val="00CB037A"/>
    <w:rsid w:val="00D027B3"/>
    <w:rsid w:val="00F466D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A7E7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0F"/>
    <w:pPr>
      <w:ind w:left="720"/>
      <w:contextualSpacing/>
    </w:pPr>
  </w:style>
  <w:style w:type="paragraph" w:styleId="a4">
    <w:name w:val="header"/>
    <w:basedOn w:val="a"/>
    <w:link w:val="a5"/>
    <w:rsid w:val="00A1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4C0F"/>
    <w:rPr>
      <w:rFonts w:eastAsia="Times New Roman"/>
      <w:lang w:eastAsia="ru-RU"/>
    </w:rPr>
  </w:style>
  <w:style w:type="paragraph" w:customStyle="1" w:styleId="11">
    <w:name w:val="Без интервала1"/>
    <w:rsid w:val="00A14C0F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4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4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44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7E7D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2019-02-13T10:18:00Z</cp:lastPrinted>
  <dcterms:created xsi:type="dcterms:W3CDTF">2019-02-13T10:10:00Z</dcterms:created>
  <dcterms:modified xsi:type="dcterms:W3CDTF">2019-07-02T11:06:00Z</dcterms:modified>
</cp:coreProperties>
</file>