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5"/>
      </w:tblGrid>
      <w:tr w:rsidR="00694CC9" w:rsidRPr="00163BA6" w:rsidTr="00694CC9">
        <w:trPr>
          <w:trHeight w:val="2410"/>
        </w:trPr>
        <w:tc>
          <w:tcPr>
            <w:tcW w:w="1045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tbl>
            <w:tblPr>
              <w:tblW w:w="9900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6"/>
              <w:gridCol w:w="2513"/>
              <w:gridCol w:w="3431"/>
            </w:tblGrid>
            <w:tr w:rsidR="00694CC9" w:rsidRPr="00163BA6" w:rsidTr="00C866B3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163BA6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C866B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  <w:lang w:eastAsia="ru-RU"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CC9" w:rsidRPr="00163BA6" w:rsidRDefault="00694CC9" w:rsidP="00C866B3"/>
                <w:p w:rsidR="00694CC9" w:rsidRPr="00163BA6" w:rsidRDefault="00694CC9" w:rsidP="00C866B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694CC9">
                  <w:pPr>
                    <w:spacing w:after="0"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694CC9" w:rsidRPr="00163BA6" w:rsidRDefault="00694CC9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694CC9" w:rsidRPr="00163BA6" w:rsidRDefault="00694CC9" w:rsidP="00C866B3">
            <w:pPr>
              <w:rPr>
                <w:sz w:val="28"/>
                <w:szCs w:val="28"/>
              </w:rPr>
            </w:pPr>
          </w:p>
        </w:tc>
      </w:tr>
    </w:tbl>
    <w:p w:rsidR="00694CC9" w:rsidRPr="00694CC9" w:rsidRDefault="00694CC9" w:rsidP="00694CC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94CC9" w:rsidRPr="00694CC9" w:rsidRDefault="00694CC9" w:rsidP="00694CC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94CC9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694C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94CC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635BC" w:rsidRPr="00F635BC" w:rsidRDefault="00F635BC" w:rsidP="00F6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о публичных слушаниях и общественных обсуждениях в сельском поселении  </w:t>
      </w:r>
      <w:proofErr w:type="spellStart"/>
      <w:r w:rsidRPr="00F635BC">
        <w:rPr>
          <w:rFonts w:ascii="Times New Roman" w:eastAsia="Times New Roman" w:hAnsi="Times New Roman"/>
          <w:b/>
          <w:sz w:val="28"/>
          <w:szCs w:val="28"/>
          <w:lang w:eastAsia="ru-RU"/>
        </w:rPr>
        <w:t>Мендяновский</w:t>
      </w:r>
      <w:proofErr w:type="spellEnd"/>
      <w:r w:rsidRPr="00F63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5BC">
        <w:rPr>
          <w:rFonts w:ascii="Times New Roman" w:eastAsia="Times New Roman" w:hAnsi="Times New Roman"/>
          <w:b/>
          <w:sz w:val="28"/>
          <w:szCs w:val="28"/>
          <w:lang w:eastAsia="ru-RU"/>
        </w:rPr>
        <w:t>Альшеевский</w:t>
      </w:r>
      <w:proofErr w:type="spellEnd"/>
      <w:r w:rsidRPr="00F63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 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с Федеральным законом   от 06 октября 2003 года № 131-ФЗ «Об общих принципах организации местного самоуправления в Российской Федерации», от 1 июля 2021 г. N 289-ФЗ «О внесении изменений в статью 28 Федерального закона «Об общих принципах организации местного самоуправления в Российской Федерации»  Совет сельского поселения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Мендяновский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Положение о порядке организации и проведения публичных слушаний, утвержденное решением Совета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Мендяновский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28.04.2021 года № 87 «Об утверждении  Положения о порядке организации  и проведения  публичных слушаний в сельском поселении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Мендяновский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 с учетом изменений, внесенных решением Совета сельского поселения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Мендяновский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proofErr w:type="gram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01.12.2021 года №98 следующие изменения:</w:t>
      </w:r>
    </w:p>
    <w:p w:rsidR="00E340A8" w:rsidRPr="00694CC9" w:rsidRDefault="00F635BC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sz w:val="24"/>
          <w:szCs w:val="24"/>
        </w:rPr>
        <w:t>Пункт 1.5 после слов «правил землепользования и застройки проводятся» заменить словами «публичные слушания или общественные обсуждения в соответствии с законодательством о г</w:t>
      </w:r>
      <w:r w:rsidR="00BC048C">
        <w:rPr>
          <w:rFonts w:ascii="Times New Roman" w:hAnsi="Times New Roman"/>
          <w:sz w:val="24"/>
          <w:szCs w:val="24"/>
        </w:rPr>
        <w:t>радостроительной деятельности</w:t>
      </w:r>
      <w:proofErr w:type="gramStart"/>
      <w:r w:rsidR="00BC048C">
        <w:rPr>
          <w:rFonts w:ascii="Times New Roman" w:hAnsi="Times New Roman"/>
          <w:sz w:val="24"/>
          <w:szCs w:val="24"/>
        </w:rPr>
        <w:t>."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b/>
          <w:sz w:val="24"/>
          <w:szCs w:val="24"/>
        </w:rPr>
        <w:t>2.</w:t>
      </w:r>
      <w:r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694CC9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694CC9">
        <w:rPr>
          <w:rFonts w:ascii="Times New Roman" w:hAnsi="Times New Roman"/>
          <w:sz w:val="24"/>
          <w:szCs w:val="24"/>
        </w:rPr>
        <w:t xml:space="preserve">    сельсовет муниципального района  </w:t>
      </w:r>
      <w:proofErr w:type="spellStart"/>
      <w:r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 (</w:t>
      </w:r>
      <w:r w:rsidRPr="00694CC9">
        <w:rPr>
          <w:sz w:val="24"/>
          <w:szCs w:val="24"/>
        </w:rPr>
        <w:t>http://мендяново</w:t>
      </w:r>
      <w:proofErr w:type="gramStart"/>
      <w:r w:rsidRPr="00694CC9">
        <w:rPr>
          <w:sz w:val="24"/>
          <w:szCs w:val="24"/>
        </w:rPr>
        <w:t>.р</w:t>
      </w:r>
      <w:proofErr w:type="gramEnd"/>
      <w:r w:rsidRPr="00694CC9">
        <w:rPr>
          <w:sz w:val="24"/>
          <w:szCs w:val="24"/>
        </w:rPr>
        <w:t>ф)</w:t>
      </w:r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Pr="00694CC9" w:rsidRDefault="00F635BC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Р.Р. </w:t>
      </w:r>
      <w:proofErr w:type="spellStart"/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>Ситдиков</w:t>
      </w:r>
      <w:proofErr w:type="spellEnd"/>
    </w:p>
    <w:p w:rsidR="00F635BC" w:rsidRPr="00694CC9" w:rsidRDefault="00F635BC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94CC9">
        <w:rPr>
          <w:rFonts w:ascii="Times New Roman" w:hAnsi="Times New Roman"/>
          <w:sz w:val="24"/>
          <w:szCs w:val="24"/>
        </w:rPr>
        <w:t>Мендяново</w:t>
      </w:r>
      <w:proofErr w:type="spellEnd"/>
    </w:p>
    <w:p w:rsidR="00F635BC" w:rsidRPr="00694CC9" w:rsidRDefault="00F635BC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sz w:val="24"/>
          <w:szCs w:val="24"/>
        </w:rPr>
        <w:t xml:space="preserve">« </w:t>
      </w:r>
      <w:r w:rsidR="00694CC9" w:rsidRPr="00694CC9">
        <w:rPr>
          <w:rFonts w:ascii="Times New Roman" w:hAnsi="Times New Roman"/>
          <w:sz w:val="24"/>
          <w:szCs w:val="24"/>
        </w:rPr>
        <w:t>22</w:t>
      </w:r>
      <w:r w:rsidRPr="00694CC9">
        <w:rPr>
          <w:rFonts w:ascii="Times New Roman" w:hAnsi="Times New Roman"/>
          <w:sz w:val="24"/>
          <w:szCs w:val="24"/>
        </w:rPr>
        <w:t xml:space="preserve"> » июня   2021 г.</w:t>
      </w:r>
    </w:p>
    <w:p w:rsidR="00F635BC" w:rsidRPr="00694CC9" w:rsidRDefault="00F635BC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sz w:val="24"/>
          <w:szCs w:val="24"/>
        </w:rPr>
        <w:t>№141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62C5"/>
    <w:rsid w:val="00694CC9"/>
    <w:rsid w:val="00790E82"/>
    <w:rsid w:val="00BC048C"/>
    <w:rsid w:val="00DD1B6A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2022-06-16T11:03:00Z</dcterms:created>
  <dcterms:modified xsi:type="dcterms:W3CDTF">2022-06-22T05:41:00Z</dcterms:modified>
</cp:coreProperties>
</file>